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Pr="00B30FC9" w:rsidRDefault="00103570" w:rsidP="00103570">
      <w:pPr>
        <w:pStyle w:val="NoSpacing"/>
        <w:spacing w:before="1540" w:after="240"/>
      </w:pPr>
    </w:p>
    <w:p w:rsidR="00103570" w:rsidRPr="00B30FC9" w:rsidRDefault="00103570" w:rsidP="00103570">
      <w:pPr>
        <w:pStyle w:val="NoSpacing"/>
        <w:pBdr>
          <w:top w:val="single" w:sz="6" w:space="6" w:color="4F81BD"/>
          <w:bottom w:val="single" w:sz="6" w:space="6" w:color="4F81BD"/>
        </w:pBdr>
        <w:spacing w:after="240"/>
        <w:jc w:val="center"/>
        <w:rPr>
          <w:rFonts w:ascii="Cambria" w:hAnsi="Cambria"/>
          <w:caps/>
          <w:sz w:val="80"/>
          <w:szCs w:val="80"/>
        </w:rPr>
      </w:pPr>
      <w:r w:rsidRPr="00B30FC9">
        <w:rPr>
          <w:rFonts w:ascii="Cambria" w:hAnsi="Cambria"/>
          <w:caps/>
          <w:sz w:val="72"/>
          <w:szCs w:val="72"/>
          <w:lang w:val="sr-Cyrl-RS"/>
        </w:rPr>
        <w:t>Правилник о р</w:t>
      </w:r>
      <w:r>
        <w:rPr>
          <w:rFonts w:ascii="Cambria" w:hAnsi="Cambria"/>
          <w:caps/>
          <w:sz w:val="72"/>
          <w:szCs w:val="72"/>
          <w:lang w:val="sr-Cyrl-RS"/>
        </w:rPr>
        <w:t>ачуноводственим политикама</w:t>
      </w:r>
    </w:p>
    <w:p w:rsidR="00103570" w:rsidRPr="00B30FC9" w:rsidRDefault="00103570" w:rsidP="00103570">
      <w:pPr>
        <w:pStyle w:val="NoSpacing"/>
        <w:jc w:val="center"/>
        <w:rPr>
          <w:sz w:val="28"/>
          <w:szCs w:val="28"/>
        </w:rPr>
      </w:pPr>
      <w:bookmarkStart w:id="0" w:name="_GoBack"/>
      <w:bookmarkEnd w:id="0"/>
      <w:r>
        <w:rPr>
          <w:sz w:val="52"/>
          <w:szCs w:val="52"/>
          <w:lang w:val="sr-Cyrl-RS"/>
        </w:rPr>
        <w:t>Средње школе „Дољевац“</w:t>
      </w:r>
      <w:r w:rsidRPr="00B30FC9">
        <w:rPr>
          <w:sz w:val="52"/>
          <w:szCs w:val="52"/>
          <w:lang w:val="sr-Cyrl-RS"/>
        </w:rPr>
        <w:t xml:space="preserve"> у </w:t>
      </w:r>
      <w:r>
        <w:rPr>
          <w:sz w:val="52"/>
          <w:szCs w:val="52"/>
          <w:lang w:val="sr-Cyrl-RS"/>
        </w:rPr>
        <w:t>Дољевцу</w:t>
      </w:r>
    </w:p>
    <w:p w:rsidR="00103570" w:rsidRPr="00B30FC9" w:rsidRDefault="00103570" w:rsidP="00103570">
      <w:pPr>
        <w:pStyle w:val="NoSpacing"/>
        <w:spacing w:before="48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457315" cy="753745"/>
                <wp:effectExtent l="0" t="0" r="0" b="190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753745"/>
                        </a:xfrm>
                        <a:prstGeom prst="rect">
                          <a:avLst/>
                        </a:prstGeom>
                        <a:noFill/>
                        <a:ln w="6350">
                          <a:noFill/>
                        </a:ln>
                        <a:effectLst/>
                      </wps:spPr>
                      <wps:txbx>
                        <w:txbxContent>
                          <w:p w:rsidR="00103570" w:rsidRPr="002A3534" w:rsidRDefault="00103570" w:rsidP="00103570">
                            <w:pPr>
                              <w:pStyle w:val="NoSpacing"/>
                              <w:spacing w:after="40"/>
                              <w:jc w:val="center"/>
                              <w:rPr>
                                <w:caps/>
                                <w:color w:val="4F81BD"/>
                                <w:sz w:val="28"/>
                                <w:szCs w:val="28"/>
                              </w:rPr>
                            </w:pPr>
                          </w:p>
                          <w:p w:rsidR="00103570" w:rsidRPr="00103570" w:rsidRDefault="00103570" w:rsidP="00103570">
                            <w:pPr>
                              <w:pStyle w:val="NoSpacing"/>
                              <w:jc w:val="center"/>
                              <w:rPr>
                                <w:rFonts w:ascii="Times New Roman" w:hAnsi="Times New Roman"/>
                                <w:color w:val="4F81BD"/>
                              </w:rPr>
                            </w:pPr>
                            <w:r w:rsidRPr="00103570">
                              <w:rPr>
                                <w:rFonts w:ascii="Times New Roman" w:hAnsi="Times New Roman"/>
                                <w:caps/>
                                <w:lang w:val="sr-Cyrl-RS"/>
                              </w:rPr>
                              <w:t>Средња школа „Дољевац“</w:t>
                            </w:r>
                          </w:p>
                          <w:p w:rsidR="00103570" w:rsidRPr="00103570" w:rsidRDefault="00103570" w:rsidP="00103570">
                            <w:pPr>
                              <w:pStyle w:val="NoSpacing"/>
                              <w:jc w:val="center"/>
                              <w:rPr>
                                <w:rFonts w:ascii="Times New Roman" w:hAnsi="Times New Roman"/>
                                <w:lang w:val="sr-Cyrl-RS"/>
                              </w:rPr>
                            </w:pPr>
                            <w:r w:rsidRPr="00103570">
                              <w:rPr>
                                <w:rFonts w:ascii="Times New Roman" w:hAnsi="Times New Roman"/>
                                <w:lang w:val="sr-Cyrl-RS"/>
                              </w:rPr>
                              <w:t xml:space="preserve">Деловодни број </w:t>
                            </w:r>
                            <w:r w:rsidR="00D54AF7">
                              <w:rPr>
                                <w:rFonts w:ascii="Times New Roman" w:hAnsi="Times New Roman"/>
                                <w:lang w:val="sr-Cyrl-RS"/>
                              </w:rPr>
                              <w:t>411/1</w:t>
                            </w:r>
                            <w:r w:rsidRPr="00103570">
                              <w:rPr>
                                <w:rFonts w:ascii="Times New Roman" w:hAnsi="Times New Roman"/>
                                <w:lang w:val="sr-Cyrl-RS"/>
                              </w:rPr>
                              <w:t xml:space="preserve"> од</w:t>
                            </w:r>
                            <w:r w:rsidRPr="00103570">
                              <w:rPr>
                                <w:rFonts w:ascii="Times New Roman" w:hAnsi="Times New Roman"/>
                              </w:rPr>
                              <w:t xml:space="preserve"> </w:t>
                            </w:r>
                            <w:r w:rsidRPr="00103570">
                              <w:rPr>
                                <w:rFonts w:ascii="Times New Roman" w:hAnsi="Times New Roman"/>
                                <w:lang w:val="sr-Cyrl-RS"/>
                              </w:rPr>
                              <w:t>13.03.2026. године</w:t>
                            </w:r>
                          </w:p>
                          <w:p w:rsidR="00103570" w:rsidRPr="00103570" w:rsidRDefault="00103570" w:rsidP="00103570">
                            <w:pPr>
                              <w:pStyle w:val="NoSpacing"/>
                              <w:jc w:val="center"/>
                              <w:rPr>
                                <w:rFonts w:ascii="Times New Roman" w:hAnsi="Times New Roman"/>
                                <w:color w:val="4F81BD"/>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08.45pt;height:59.35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" filled="f" stroked="f" strokeweight=".5pt">
                <v:path arrowok="t"/>
                <v:textbox style="mso-fit-shape-to-text:t" inset="0,0,0,0">
                  <w:txbxContent>
                    <w:p w:rsidR="00103570" w:rsidRPr="002A3534" w:rsidRDefault="00103570" w:rsidP="00103570">
                      <w:pPr>
                        <w:pStyle w:val="NoSpacing"/>
                        <w:spacing w:after="40"/>
                        <w:jc w:val="center"/>
                        <w:rPr>
                          <w:caps/>
                          <w:color w:val="4F81BD"/>
                          <w:sz w:val="28"/>
                          <w:szCs w:val="28"/>
                        </w:rPr>
                      </w:pPr>
                    </w:p>
                    <w:p w:rsidR="00103570" w:rsidRPr="00103570" w:rsidRDefault="00103570" w:rsidP="00103570">
                      <w:pPr>
                        <w:pStyle w:val="NoSpacing"/>
                        <w:jc w:val="center"/>
                        <w:rPr>
                          <w:rFonts w:ascii="Times New Roman" w:hAnsi="Times New Roman"/>
                          <w:color w:val="4F81BD"/>
                        </w:rPr>
                      </w:pPr>
                      <w:r w:rsidRPr="00103570">
                        <w:rPr>
                          <w:rFonts w:ascii="Times New Roman" w:hAnsi="Times New Roman"/>
                          <w:caps/>
                          <w:lang w:val="sr-Cyrl-RS"/>
                        </w:rPr>
                        <w:t>Средња школа „Дољевац“</w:t>
                      </w:r>
                    </w:p>
                    <w:p w:rsidR="00103570" w:rsidRPr="00103570" w:rsidRDefault="00103570" w:rsidP="00103570">
                      <w:pPr>
                        <w:pStyle w:val="NoSpacing"/>
                        <w:jc w:val="center"/>
                        <w:rPr>
                          <w:rFonts w:ascii="Times New Roman" w:hAnsi="Times New Roman"/>
                          <w:lang w:val="sr-Cyrl-RS"/>
                        </w:rPr>
                      </w:pPr>
                      <w:r w:rsidRPr="00103570">
                        <w:rPr>
                          <w:rFonts w:ascii="Times New Roman" w:hAnsi="Times New Roman"/>
                          <w:lang w:val="sr-Cyrl-RS"/>
                        </w:rPr>
                        <w:t xml:space="preserve">Деловодни број </w:t>
                      </w:r>
                      <w:r w:rsidR="00D54AF7">
                        <w:rPr>
                          <w:rFonts w:ascii="Times New Roman" w:hAnsi="Times New Roman"/>
                          <w:lang w:val="sr-Cyrl-RS"/>
                        </w:rPr>
                        <w:t>411/1</w:t>
                      </w:r>
                      <w:r w:rsidRPr="00103570">
                        <w:rPr>
                          <w:rFonts w:ascii="Times New Roman" w:hAnsi="Times New Roman"/>
                          <w:lang w:val="sr-Cyrl-RS"/>
                        </w:rPr>
                        <w:t xml:space="preserve"> од</w:t>
                      </w:r>
                      <w:r w:rsidRPr="00103570">
                        <w:rPr>
                          <w:rFonts w:ascii="Times New Roman" w:hAnsi="Times New Roman"/>
                        </w:rPr>
                        <w:t xml:space="preserve"> </w:t>
                      </w:r>
                      <w:r w:rsidRPr="00103570">
                        <w:rPr>
                          <w:rFonts w:ascii="Times New Roman" w:hAnsi="Times New Roman"/>
                          <w:lang w:val="sr-Cyrl-RS"/>
                        </w:rPr>
                        <w:t>13.03.2026. године</w:t>
                      </w:r>
                    </w:p>
                    <w:p w:rsidR="00103570" w:rsidRPr="00103570" w:rsidRDefault="00103570" w:rsidP="00103570">
                      <w:pPr>
                        <w:pStyle w:val="NoSpacing"/>
                        <w:jc w:val="center"/>
                        <w:rPr>
                          <w:rFonts w:ascii="Times New Roman" w:hAnsi="Times New Roman"/>
                          <w:color w:val="4F81BD"/>
                        </w:rPr>
                      </w:pPr>
                    </w:p>
                  </w:txbxContent>
                </v:textbox>
                <w10:wrap anchorx="margin" anchory="page"/>
              </v:shape>
            </w:pict>
          </mc:Fallback>
        </mc:AlternateContent>
      </w: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351B4D">
      <w:pPr>
        <w:jc w:val="center"/>
      </w:pPr>
    </w:p>
    <w:p w:rsidR="00103570" w:rsidRDefault="00103570" w:rsidP="00103570"/>
    <w:p w:rsidR="00103570" w:rsidRDefault="00103570" w:rsidP="00103570"/>
    <w:p w:rsidR="00103570" w:rsidRPr="00103570" w:rsidRDefault="00103570" w:rsidP="00103570">
      <w:pPr>
        <w:spacing w:after="0" w:line="240" w:lineRule="auto"/>
        <w:jc w:val="both"/>
        <w:rPr>
          <w:rFonts w:ascii="Times New Roman" w:eastAsia="Times New Roman" w:hAnsi="Times New Roman" w:cs="Times New Roman"/>
        </w:rPr>
      </w:pPr>
      <w:r w:rsidRPr="00103570">
        <w:rPr>
          <w:rFonts w:ascii="Times New Roman" w:eastAsia="Times New Roman" w:hAnsi="Times New Roman" w:cs="Times New Roman"/>
          <w:sz w:val="24"/>
          <w:szCs w:val="24"/>
          <w:lang w:val="sr-Cyrl-RS"/>
        </w:rPr>
        <w:lastRenderedPageBreak/>
        <w:t xml:space="preserve">На основу члана 119. став 1. тачка 1) Закона о основама система образовања и васпитања ("Сл. гласник РС", бр. </w:t>
      </w:r>
      <w:r w:rsidRPr="00103570">
        <w:rPr>
          <w:rFonts w:ascii="Times New Roman" w:eastAsia="Times New Roman" w:hAnsi="Times New Roman" w:cs="Times New Roman"/>
          <w:sz w:val="24"/>
          <w:szCs w:val="24"/>
        </w:rPr>
        <w:t>88/17</w:t>
      </w:r>
      <w:r w:rsidRPr="00103570">
        <w:rPr>
          <w:rFonts w:ascii="Times New Roman" w:eastAsia="Times New Roman" w:hAnsi="Times New Roman" w:cs="Times New Roman"/>
          <w:sz w:val="24"/>
          <w:szCs w:val="24"/>
          <w:lang w:val="sr-Cyrl-RS"/>
        </w:rPr>
        <w:t>, 27/2018-др.закон, 10/2019, 27/2018-др.закон, 6/</w:t>
      </w:r>
      <w:proofErr w:type="gramStart"/>
      <w:r w:rsidRPr="00103570">
        <w:rPr>
          <w:rFonts w:ascii="Times New Roman" w:eastAsia="Times New Roman" w:hAnsi="Times New Roman" w:cs="Times New Roman"/>
          <w:sz w:val="24"/>
          <w:szCs w:val="24"/>
          <w:lang w:val="sr-Cyrl-RS"/>
        </w:rPr>
        <w:t>2020,  129</w:t>
      </w:r>
      <w:proofErr w:type="gramEnd"/>
      <w:r w:rsidRPr="00103570">
        <w:rPr>
          <w:rFonts w:ascii="Times New Roman" w:eastAsia="Times New Roman" w:hAnsi="Times New Roman" w:cs="Times New Roman"/>
          <w:sz w:val="24"/>
          <w:szCs w:val="24"/>
          <w:lang w:val="sr-Cyrl-RS"/>
        </w:rPr>
        <w:t xml:space="preserve">/2021, </w:t>
      </w:r>
      <w:r w:rsidRPr="00103570">
        <w:rPr>
          <w:rFonts w:ascii="Times New Roman" w:eastAsia="Times New Roman" w:hAnsi="Times New Roman" w:cs="Times New Roman"/>
          <w:sz w:val="24"/>
          <w:szCs w:val="24"/>
        </w:rPr>
        <w:t>92/2023 и 19/2025</w:t>
      </w:r>
      <w:r w:rsidRPr="00103570">
        <w:rPr>
          <w:rFonts w:ascii="Times New Roman" w:eastAsia="Times New Roman" w:hAnsi="Times New Roman" w:cs="Times New Roman"/>
          <w:lang w:val="sr-Cyrl-RS"/>
        </w:rPr>
        <w:t xml:space="preserve"> </w:t>
      </w:r>
      <w:r w:rsidRPr="00103570">
        <w:rPr>
          <w:rFonts w:ascii="Times New Roman" w:eastAsia="Times New Roman" w:hAnsi="Times New Roman" w:cs="Times New Roman"/>
          <w:sz w:val="24"/>
          <w:szCs w:val="24"/>
          <w:lang w:val="sr-Cyrl-RS"/>
        </w:rPr>
        <w:t xml:space="preserve">- даље: Закон), школски одбор је на седници одржаној дана </w:t>
      </w:r>
      <w:r>
        <w:rPr>
          <w:rFonts w:ascii="Times New Roman" w:eastAsia="Times New Roman" w:hAnsi="Times New Roman" w:cs="Times New Roman"/>
          <w:sz w:val="24"/>
          <w:szCs w:val="24"/>
          <w:lang w:val="sr-Cyrl-RS"/>
        </w:rPr>
        <w:t>13.03.2026</w:t>
      </w:r>
      <w:r w:rsidRPr="00103570">
        <w:rPr>
          <w:rFonts w:ascii="Times New Roman" w:eastAsia="Times New Roman" w:hAnsi="Times New Roman" w:cs="Times New Roman"/>
          <w:sz w:val="24"/>
          <w:szCs w:val="24"/>
        </w:rPr>
        <w:t>.</w:t>
      </w:r>
      <w:r w:rsidRPr="00103570">
        <w:rPr>
          <w:rFonts w:ascii="Times New Roman" w:eastAsia="Times New Roman" w:hAnsi="Times New Roman" w:cs="Times New Roman"/>
          <w:sz w:val="24"/>
          <w:szCs w:val="24"/>
          <w:lang w:val="sr-Cyrl-RS"/>
        </w:rPr>
        <w:t xml:space="preserve"> године донео: </w:t>
      </w:r>
    </w:p>
    <w:p w:rsidR="00351B4D" w:rsidRPr="00103570" w:rsidRDefault="00103570" w:rsidP="00103570">
      <w:pPr>
        <w:tabs>
          <w:tab w:val="center" w:pos="4680"/>
        </w:tabs>
        <w:rPr>
          <w:rFonts w:ascii="Times New Roman" w:hAnsi="Times New Roman" w:cs="Times New Roman"/>
          <w:sz w:val="24"/>
          <w:szCs w:val="24"/>
          <w:lang w:val="sr-Cyrl-RS"/>
        </w:rPr>
      </w:pPr>
      <w:r>
        <w:rPr>
          <w:rFonts w:ascii="Times New Roman" w:hAnsi="Times New Roman" w:cs="Times New Roman"/>
          <w:sz w:val="24"/>
          <w:szCs w:val="24"/>
        </w:rPr>
        <w:tab/>
      </w:r>
      <w:r w:rsidR="00351B4D" w:rsidRPr="00103570">
        <w:rPr>
          <w:rFonts w:ascii="Times New Roman" w:hAnsi="Times New Roman" w:cs="Times New Roman"/>
          <w:sz w:val="24"/>
          <w:szCs w:val="24"/>
        </w:rPr>
        <w:t>П Р А В И Л Н И К</w:t>
      </w:r>
    </w:p>
    <w:p w:rsidR="00351B4D" w:rsidRPr="00103570" w:rsidRDefault="00351B4D" w:rsidP="00351B4D">
      <w:pPr>
        <w:jc w:val="center"/>
        <w:rPr>
          <w:rFonts w:ascii="Times New Roman" w:hAnsi="Times New Roman" w:cs="Times New Roman"/>
          <w:sz w:val="24"/>
          <w:szCs w:val="24"/>
          <w:lang w:val="sr-Cyrl-RS"/>
        </w:rPr>
      </w:pPr>
      <w:r w:rsidRPr="00103570">
        <w:rPr>
          <w:rFonts w:ascii="Times New Roman" w:hAnsi="Times New Roman" w:cs="Times New Roman"/>
          <w:sz w:val="24"/>
          <w:szCs w:val="24"/>
        </w:rPr>
        <w:t>О РАЧУНОВОДСТВЕНИМ ПОЛИТИКАМА</w:t>
      </w:r>
    </w:p>
    <w:p w:rsidR="00351B4D" w:rsidRPr="00103570" w:rsidRDefault="00666923" w:rsidP="00351B4D">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Latn-RS"/>
        </w:rPr>
        <w:t>I.</w:t>
      </w:r>
      <w:r w:rsidR="00351B4D" w:rsidRPr="00103570">
        <w:rPr>
          <w:rFonts w:ascii="Times New Roman" w:hAnsi="Times New Roman" w:cs="Times New Roman"/>
          <w:sz w:val="24"/>
          <w:szCs w:val="24"/>
        </w:rPr>
        <w:t>ОСНОВНЕ ОДРЕДБЕ</w:t>
      </w:r>
    </w:p>
    <w:p w:rsidR="00351B4D" w:rsidRPr="00103570" w:rsidRDefault="00351B4D" w:rsidP="00351B4D">
      <w:pPr>
        <w:ind w:left="45"/>
        <w:jc w:val="center"/>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Члан</w:t>
      </w:r>
      <w:proofErr w:type="spellEnd"/>
      <w:r w:rsidRPr="00103570">
        <w:rPr>
          <w:rFonts w:ascii="Times New Roman" w:hAnsi="Times New Roman" w:cs="Times New Roman"/>
          <w:sz w:val="24"/>
          <w:szCs w:val="24"/>
        </w:rPr>
        <w:t xml:space="preserve"> </w:t>
      </w:r>
      <w:r w:rsidRPr="00103570">
        <w:rPr>
          <w:rFonts w:ascii="Times New Roman" w:hAnsi="Times New Roman" w:cs="Times New Roman"/>
          <w:sz w:val="24"/>
          <w:szCs w:val="24"/>
          <w:lang w:val="sr-Cyrl-RS"/>
        </w:rPr>
        <w:t>1</w:t>
      </w:r>
    </w:p>
    <w:p w:rsidR="00351B4D" w:rsidRPr="00103570" w:rsidRDefault="00351B4D" w:rsidP="00351B4D">
      <w:pPr>
        <w:ind w:left="45"/>
        <w:jc w:val="both"/>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Рачуноводствене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политике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представљају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начела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правила</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основе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примењују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састављању</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презентовању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рачуноводствених</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извештаја</w:t>
      </w:r>
      <w:proofErr w:type="spellEnd"/>
      <w:r w:rsidRPr="00103570">
        <w:rPr>
          <w:rFonts w:ascii="Times New Roman" w:hAnsi="Times New Roman" w:cs="Times New Roman"/>
          <w:sz w:val="24"/>
          <w:szCs w:val="24"/>
        </w:rPr>
        <w:t>.</w:t>
      </w:r>
    </w:p>
    <w:p w:rsidR="00351B4D"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Основ</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успостављање</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вођење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система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двојног</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књиговодства</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јединственог</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система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буџетског</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рачуноводства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корисника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буџетских</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средстава</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корисника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средстава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организација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обавезно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социјално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осигурање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закон</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којим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уређује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буџетски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систем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уредба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којом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уређује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буџетско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рачуноводство</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уредба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којом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уређује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примена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Међународних</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рачуноводствених</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стандарда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јавни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сектор</w:t>
      </w:r>
      <w:proofErr w:type="spellEnd"/>
      <w:r w:rsidRPr="00103570">
        <w:rPr>
          <w:rFonts w:ascii="Times New Roman" w:hAnsi="Times New Roman" w:cs="Times New Roman"/>
          <w:sz w:val="24"/>
          <w:szCs w:val="24"/>
        </w:rPr>
        <w:t xml:space="preserve">. </w:t>
      </w:r>
    </w:p>
    <w:p w:rsidR="00351B4D" w:rsidRPr="00103570" w:rsidRDefault="00351B4D" w:rsidP="00351B4D">
      <w:pPr>
        <w:ind w:left="45"/>
        <w:jc w:val="both"/>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Основ</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утврђивање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рачуноводствених</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политика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су</w:t>
      </w:r>
      <w:proofErr w:type="spellEnd"/>
      <w:r w:rsidRPr="00103570">
        <w:rPr>
          <w:rFonts w:ascii="Times New Roman" w:hAnsi="Times New Roman" w:cs="Times New Roman"/>
          <w:sz w:val="24"/>
          <w:szCs w:val="24"/>
        </w:rPr>
        <w:t xml:space="preserve"> IPSAS </w:t>
      </w:r>
      <w:proofErr w:type="spellStart"/>
      <w:r w:rsidRPr="00103570">
        <w:rPr>
          <w:rFonts w:ascii="Times New Roman" w:hAnsi="Times New Roman" w:cs="Times New Roman"/>
          <w:sz w:val="24"/>
          <w:szCs w:val="24"/>
        </w:rPr>
        <w:t>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готовинској</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основи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који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објављује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Одбор</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међународне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рачуноводствене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стандарде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јавни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сектор</w:t>
      </w:r>
      <w:proofErr w:type="spellEnd"/>
      <w:r w:rsidRPr="00103570">
        <w:rPr>
          <w:rFonts w:ascii="Times New Roman" w:hAnsi="Times New Roman" w:cs="Times New Roman"/>
          <w:sz w:val="24"/>
          <w:szCs w:val="24"/>
        </w:rPr>
        <w:t xml:space="preserve"> (International Public Sector Accounting Standards Board – IPSASB). </w:t>
      </w:r>
    </w:p>
    <w:p w:rsidR="00351B4D" w:rsidRPr="00103570" w:rsidRDefault="00351B4D" w:rsidP="00351B4D">
      <w:pPr>
        <w:ind w:left="45"/>
        <w:jc w:val="center"/>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Основа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вођење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рачуноводства</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извештавање</w:t>
      </w:r>
      <w:proofErr w:type="spellEnd"/>
    </w:p>
    <w:p w:rsidR="00351B4D" w:rsidRPr="00103570" w:rsidRDefault="00351B4D" w:rsidP="00351B4D">
      <w:pPr>
        <w:ind w:left="45"/>
        <w:jc w:val="center"/>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Члан</w:t>
      </w:r>
      <w:proofErr w:type="spellEnd"/>
      <w:r w:rsidRPr="00103570">
        <w:rPr>
          <w:rFonts w:ascii="Times New Roman" w:hAnsi="Times New Roman" w:cs="Times New Roman"/>
          <w:sz w:val="24"/>
          <w:szCs w:val="24"/>
        </w:rPr>
        <w:t xml:space="preserve"> </w:t>
      </w:r>
      <w:r w:rsidRPr="00103570">
        <w:rPr>
          <w:rFonts w:ascii="Times New Roman" w:hAnsi="Times New Roman" w:cs="Times New Roman"/>
          <w:sz w:val="24"/>
          <w:szCs w:val="24"/>
          <w:lang w:val="sr-Cyrl-RS"/>
        </w:rPr>
        <w:t>2</w:t>
      </w:r>
    </w:p>
    <w:p w:rsidR="00351B4D" w:rsidRPr="00103570" w:rsidRDefault="00351B4D" w:rsidP="00351B4D">
      <w:pPr>
        <w:ind w:left="45"/>
        <w:jc w:val="both"/>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Основа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вођење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рачуноводства</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циљу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праћења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извршења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буџета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финансијског</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плана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јесте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готовинска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основа</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користи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припрему</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састављање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извештаја</w:t>
      </w:r>
      <w:proofErr w:type="spellEnd"/>
      <w:r w:rsidRPr="00103570">
        <w:rPr>
          <w:rFonts w:ascii="Times New Roman" w:hAnsi="Times New Roman" w:cs="Times New Roman"/>
          <w:sz w:val="24"/>
          <w:szCs w:val="24"/>
        </w:rPr>
        <w:t xml:space="preserve"> о </w:t>
      </w:r>
      <w:proofErr w:type="spellStart"/>
      <w:r w:rsidRPr="00103570">
        <w:rPr>
          <w:rFonts w:ascii="Times New Roman" w:hAnsi="Times New Roman" w:cs="Times New Roman"/>
          <w:sz w:val="24"/>
          <w:szCs w:val="24"/>
        </w:rPr>
        <w:t>извршењу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буџета</w:t>
      </w:r>
      <w:proofErr w:type="spellEnd"/>
      <w:r w:rsidRPr="00103570">
        <w:rPr>
          <w:rFonts w:ascii="Times New Roman" w:hAnsi="Times New Roman" w:cs="Times New Roman"/>
          <w:sz w:val="24"/>
          <w:szCs w:val="24"/>
        </w:rPr>
        <w:t xml:space="preserve">. </w:t>
      </w:r>
    </w:p>
    <w:p w:rsidR="00351B4D" w:rsidRPr="00103570" w:rsidRDefault="00351B4D" w:rsidP="00351B4D">
      <w:pPr>
        <w:ind w:left="45"/>
        <w:jc w:val="both"/>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Трансакције</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остали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догађаји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евидентирају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тренутку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када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готовинска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средства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или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готовински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еквиваленти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приме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односно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исплате</w:t>
      </w:r>
      <w:proofErr w:type="spellEnd"/>
      <w:r w:rsidRPr="00103570">
        <w:rPr>
          <w:rFonts w:ascii="Times New Roman" w:hAnsi="Times New Roman" w:cs="Times New Roman"/>
          <w:sz w:val="24"/>
          <w:szCs w:val="24"/>
        </w:rPr>
        <w:t xml:space="preserve">. </w:t>
      </w:r>
    </w:p>
    <w:p w:rsidR="00351B4D" w:rsidRPr="00103570" w:rsidRDefault="00351B4D" w:rsidP="00351B4D">
      <w:pPr>
        <w:ind w:left="45"/>
        <w:jc w:val="both"/>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Изузетно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примљена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средства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од</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донација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хуманитарне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помоћи</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финансијске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помоћи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Европске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уније</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девизама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евидентирају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као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приход</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моменту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конвертовања</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уплате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тих</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средстава</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динарима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прописани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уплатни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рачун</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јавног</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прихода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односно</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моменту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евидентирања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динарске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противвредности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плаћања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извршеног</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девизама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из</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средстава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донација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хуманитарне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помоћи</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финансијске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помоћи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Европске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уније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преко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подрачуна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извршења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буџета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Републике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Србије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односно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локалне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власти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организација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обавезно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социјално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осигурање</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корисника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средстава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Републичког</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фонда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здравствено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осигурање</w:t>
      </w:r>
      <w:proofErr w:type="spellEnd"/>
      <w:r w:rsidRPr="00103570">
        <w:rPr>
          <w:rFonts w:ascii="Times New Roman" w:hAnsi="Times New Roman" w:cs="Times New Roman"/>
          <w:sz w:val="24"/>
          <w:szCs w:val="24"/>
        </w:rPr>
        <w:t xml:space="preserve">. </w:t>
      </w:r>
    </w:p>
    <w:p w:rsidR="00351B4D" w:rsidRPr="00103570" w:rsidRDefault="00351B4D" w:rsidP="00351B4D">
      <w:pPr>
        <w:ind w:left="45"/>
        <w:jc w:val="both"/>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lastRenderedPageBreak/>
        <w:t>Пословне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промене</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рачуноводству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воде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прописаним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шестоцифреним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субаналитичким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контима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садржаним</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контном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плану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правилника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којим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уређује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стандардни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класификациони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оквир</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контни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план</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буџетски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систем</w:t>
      </w:r>
      <w:proofErr w:type="spellEnd"/>
      <w:r w:rsidRPr="00103570">
        <w:rPr>
          <w:rFonts w:ascii="Times New Roman" w:hAnsi="Times New Roman" w:cs="Times New Roman"/>
          <w:sz w:val="24"/>
          <w:szCs w:val="24"/>
        </w:rPr>
        <w:t xml:space="preserve">. </w:t>
      </w:r>
    </w:p>
    <w:p w:rsidR="00351B4D" w:rsidRPr="00103570" w:rsidRDefault="00351B4D" w:rsidP="00351B4D">
      <w:pPr>
        <w:ind w:left="45"/>
        <w:jc w:val="both"/>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Основни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елементи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рачуноводства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приходи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примања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расходи</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издаци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дефинисани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законом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којим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уређује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буџетски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систем</w:t>
      </w:r>
      <w:proofErr w:type="spellEnd"/>
      <w:r w:rsidRPr="00103570">
        <w:rPr>
          <w:rFonts w:ascii="Times New Roman" w:hAnsi="Times New Roman" w:cs="Times New Roman"/>
          <w:sz w:val="24"/>
          <w:szCs w:val="24"/>
        </w:rPr>
        <w:t xml:space="preserve">. </w:t>
      </w:r>
    </w:p>
    <w:p w:rsidR="00351B4D" w:rsidRPr="00103570" w:rsidRDefault="00351B4D" w:rsidP="00351B4D">
      <w:pPr>
        <w:ind w:left="45"/>
        <w:jc w:val="both"/>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потребе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припреме</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састављања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Извештаја</w:t>
      </w:r>
      <w:proofErr w:type="spellEnd"/>
      <w:r w:rsidRPr="00103570">
        <w:rPr>
          <w:rFonts w:ascii="Times New Roman" w:hAnsi="Times New Roman" w:cs="Times New Roman"/>
          <w:sz w:val="24"/>
          <w:szCs w:val="24"/>
        </w:rPr>
        <w:t xml:space="preserve"> о </w:t>
      </w:r>
      <w:proofErr w:type="spellStart"/>
      <w:r w:rsidRPr="00103570">
        <w:rPr>
          <w:rFonts w:ascii="Times New Roman" w:hAnsi="Times New Roman" w:cs="Times New Roman"/>
          <w:sz w:val="24"/>
          <w:szCs w:val="24"/>
        </w:rPr>
        <w:t>новчаним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токовима</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складу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са</w:t>
      </w:r>
      <w:proofErr w:type="spellEnd"/>
      <w:r w:rsidRPr="00103570">
        <w:rPr>
          <w:rFonts w:ascii="Times New Roman" w:hAnsi="Times New Roman" w:cs="Times New Roman"/>
          <w:sz w:val="24"/>
          <w:szCs w:val="24"/>
        </w:rPr>
        <w:t xml:space="preserve"> IPSAS </w:t>
      </w:r>
      <w:proofErr w:type="spellStart"/>
      <w:r w:rsidRPr="00103570">
        <w:rPr>
          <w:rFonts w:ascii="Times New Roman" w:hAnsi="Times New Roman" w:cs="Times New Roman"/>
          <w:sz w:val="24"/>
          <w:szCs w:val="24"/>
        </w:rPr>
        <w:t>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готовинској</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основи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приливи</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одливи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евидентирају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презентују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готовинској</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основи</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периоду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када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готовина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примљена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односно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исплаћена</w:t>
      </w:r>
      <w:proofErr w:type="spellEnd"/>
      <w:r w:rsidRPr="00103570">
        <w:rPr>
          <w:rFonts w:ascii="Times New Roman" w:hAnsi="Times New Roman" w:cs="Times New Roman"/>
          <w:sz w:val="24"/>
          <w:szCs w:val="24"/>
        </w:rPr>
        <w:t xml:space="preserve">. </w:t>
      </w:r>
    </w:p>
    <w:p w:rsidR="00351B4D" w:rsidRPr="00103570" w:rsidRDefault="00351B4D" w:rsidP="00351B4D">
      <w:pPr>
        <w:ind w:left="45"/>
        <w:jc w:val="center"/>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Извештавање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нето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основи</w:t>
      </w:r>
      <w:proofErr w:type="spellEnd"/>
    </w:p>
    <w:p w:rsidR="00351B4D" w:rsidRPr="00103570" w:rsidRDefault="00351B4D" w:rsidP="00351B4D">
      <w:pPr>
        <w:ind w:left="45"/>
        <w:jc w:val="center"/>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Члан</w:t>
      </w:r>
      <w:proofErr w:type="spellEnd"/>
      <w:r w:rsidRPr="00103570">
        <w:rPr>
          <w:rFonts w:ascii="Times New Roman" w:hAnsi="Times New Roman" w:cs="Times New Roman"/>
          <w:sz w:val="24"/>
          <w:szCs w:val="24"/>
        </w:rPr>
        <w:t xml:space="preserve"> </w:t>
      </w:r>
      <w:r w:rsidRPr="00103570">
        <w:rPr>
          <w:rFonts w:ascii="Times New Roman" w:hAnsi="Times New Roman" w:cs="Times New Roman"/>
          <w:sz w:val="24"/>
          <w:szCs w:val="24"/>
          <w:lang w:val="sr-Cyrl-RS"/>
        </w:rPr>
        <w:t>3</w:t>
      </w:r>
    </w:p>
    <w:p w:rsidR="00351B4D" w:rsidRPr="00103570" w:rsidRDefault="00351B4D" w:rsidP="00351B4D">
      <w:pPr>
        <w:ind w:left="45"/>
        <w:jc w:val="both"/>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Укупни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приливи</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одливи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готовине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као</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приливи</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одливи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готовине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сваку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активност</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презентују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бруто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основи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Изузетак</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готовински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приливи</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одливи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који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испуњавају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следећа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два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услова</w:t>
      </w:r>
      <w:proofErr w:type="spellEnd"/>
      <w:r w:rsidRPr="00103570">
        <w:rPr>
          <w:rFonts w:ascii="Times New Roman" w:hAnsi="Times New Roman" w:cs="Times New Roman"/>
          <w:sz w:val="24"/>
          <w:szCs w:val="24"/>
        </w:rPr>
        <w:t xml:space="preserve">:  </w:t>
      </w:r>
    </w:p>
    <w:p w:rsidR="00351B4D"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настају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из</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трансакција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корисник</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контролише</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име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других</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страна</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који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признају</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Извештају</w:t>
      </w:r>
      <w:proofErr w:type="spellEnd"/>
      <w:r w:rsidRPr="00103570">
        <w:rPr>
          <w:rFonts w:ascii="Times New Roman" w:hAnsi="Times New Roman" w:cs="Times New Roman"/>
          <w:sz w:val="24"/>
          <w:szCs w:val="24"/>
        </w:rPr>
        <w:t xml:space="preserve"> о </w:t>
      </w:r>
      <w:proofErr w:type="spellStart"/>
      <w:r w:rsidRPr="00103570">
        <w:rPr>
          <w:rFonts w:ascii="Times New Roman" w:hAnsi="Times New Roman" w:cs="Times New Roman"/>
          <w:sz w:val="24"/>
          <w:szCs w:val="24"/>
        </w:rPr>
        <w:t>новчаним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токовима</w:t>
      </w:r>
      <w:proofErr w:type="spellEnd"/>
      <w:r w:rsidRPr="00103570">
        <w:rPr>
          <w:rFonts w:ascii="Times New Roman" w:hAnsi="Times New Roman" w:cs="Times New Roman"/>
          <w:sz w:val="24"/>
          <w:szCs w:val="24"/>
        </w:rPr>
        <w:t xml:space="preserve">, и </w:t>
      </w:r>
    </w:p>
    <w:p w:rsidR="00351B4D"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односе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трансакције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чији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је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обрт</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брз</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износи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високи</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рокови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доспећа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кратки</w:t>
      </w:r>
      <w:proofErr w:type="spellEnd"/>
      <w:r w:rsidRPr="00103570">
        <w:rPr>
          <w:rFonts w:ascii="Times New Roman" w:hAnsi="Times New Roman" w:cs="Times New Roman"/>
          <w:sz w:val="24"/>
          <w:szCs w:val="24"/>
        </w:rPr>
        <w:t xml:space="preserve">. </w:t>
      </w:r>
    </w:p>
    <w:p w:rsidR="009E0D5F" w:rsidRPr="00103570" w:rsidRDefault="00351B4D" w:rsidP="00351B4D">
      <w:pPr>
        <w:ind w:left="45"/>
        <w:jc w:val="both"/>
        <w:rPr>
          <w:rFonts w:ascii="Times New Roman" w:hAnsi="Times New Roman" w:cs="Times New Roman"/>
          <w:sz w:val="24"/>
          <w:szCs w:val="24"/>
          <w:lang w:val="sr-Cyrl-RS"/>
        </w:rPr>
      </w:pPr>
      <w:proofErr w:type="spellStart"/>
      <w:r w:rsidRPr="00103570">
        <w:rPr>
          <w:rFonts w:ascii="Times New Roman" w:hAnsi="Times New Roman" w:cs="Times New Roman"/>
          <w:sz w:val="24"/>
          <w:szCs w:val="24"/>
        </w:rPr>
        <w:t>Уколико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приливи</w:t>
      </w:r>
      <w:proofErr w:type="spellEnd"/>
      <w:r w:rsidRPr="00103570">
        <w:rPr>
          <w:rFonts w:ascii="Times New Roman" w:hAnsi="Times New Roman" w:cs="Times New Roman"/>
          <w:sz w:val="24"/>
          <w:szCs w:val="24"/>
        </w:rPr>
        <w:t xml:space="preserve"> и </w:t>
      </w:r>
      <w:proofErr w:type="spellStart"/>
      <w:r w:rsidRPr="00103570">
        <w:rPr>
          <w:rFonts w:ascii="Times New Roman" w:hAnsi="Times New Roman" w:cs="Times New Roman"/>
          <w:sz w:val="24"/>
          <w:szCs w:val="24"/>
        </w:rPr>
        <w:t>одливи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готовине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који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задовољавају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претходне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услове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да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буду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презентовани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нето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основи</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буџету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исказују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бруто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основи</w:t>
      </w:r>
      <w:proofErr w:type="spellEnd"/>
      <w:r w:rsidRPr="00103570">
        <w:rPr>
          <w:rFonts w:ascii="Times New Roman" w:hAnsi="Times New Roman" w:cs="Times New Roman"/>
          <w:sz w:val="24"/>
          <w:szCs w:val="24"/>
        </w:rPr>
        <w:t xml:space="preserve">, у </w:t>
      </w:r>
      <w:proofErr w:type="spellStart"/>
      <w:r w:rsidRPr="00103570">
        <w:rPr>
          <w:rFonts w:ascii="Times New Roman" w:hAnsi="Times New Roman" w:cs="Times New Roman"/>
          <w:sz w:val="24"/>
          <w:szCs w:val="24"/>
        </w:rPr>
        <w:t>Извештају</w:t>
      </w:r>
      <w:proofErr w:type="spellEnd"/>
      <w:r w:rsidRPr="00103570">
        <w:rPr>
          <w:rFonts w:ascii="Times New Roman" w:hAnsi="Times New Roman" w:cs="Times New Roman"/>
          <w:sz w:val="24"/>
          <w:szCs w:val="24"/>
        </w:rPr>
        <w:t xml:space="preserve"> о </w:t>
      </w:r>
      <w:proofErr w:type="spellStart"/>
      <w:r w:rsidRPr="00103570">
        <w:rPr>
          <w:rFonts w:ascii="Times New Roman" w:hAnsi="Times New Roman" w:cs="Times New Roman"/>
          <w:sz w:val="24"/>
          <w:szCs w:val="24"/>
        </w:rPr>
        <w:t>новчаним</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токовима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презентују</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се</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на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бруто</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основи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ради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упоредивости</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ова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два</w:t>
      </w:r>
      <w:proofErr w:type="spellEnd"/>
      <w:r w:rsidRPr="00103570">
        <w:rPr>
          <w:rFonts w:ascii="Times New Roman" w:hAnsi="Times New Roman" w:cs="Times New Roman"/>
          <w:sz w:val="24"/>
          <w:szCs w:val="24"/>
        </w:rPr>
        <w:t xml:space="preserve"> </w:t>
      </w:r>
      <w:proofErr w:type="spellStart"/>
      <w:r w:rsidRPr="00103570">
        <w:rPr>
          <w:rFonts w:ascii="Times New Roman" w:hAnsi="Times New Roman" w:cs="Times New Roman"/>
          <w:sz w:val="24"/>
          <w:szCs w:val="24"/>
        </w:rPr>
        <w:t>извештаја</w:t>
      </w:r>
      <w:proofErr w:type="spellEnd"/>
      <w:r w:rsidRPr="00103570">
        <w:rPr>
          <w:rFonts w:ascii="Times New Roman" w:hAnsi="Times New Roman" w:cs="Times New Roman"/>
          <w:sz w:val="24"/>
          <w:szCs w:val="24"/>
        </w:rPr>
        <w:t>.</w:t>
      </w:r>
    </w:p>
    <w:p w:rsidR="00666923" w:rsidRPr="00103570" w:rsidRDefault="00666923" w:rsidP="00351B4D">
      <w:pPr>
        <w:ind w:left="45"/>
        <w:jc w:val="both"/>
        <w:rPr>
          <w:rFonts w:ascii="Times New Roman" w:hAnsi="Times New Roman" w:cs="Times New Roman"/>
          <w:sz w:val="24"/>
          <w:szCs w:val="24"/>
          <w:lang w:val="sr-Cyrl-RS"/>
        </w:rPr>
      </w:pPr>
    </w:p>
    <w:p w:rsidR="00666923" w:rsidRPr="00103570" w:rsidRDefault="00351B4D" w:rsidP="00666923">
      <w:pPr>
        <w:ind w:left="4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Квалитативне карактеристике информација, њихова материјална значајност и исправљање грешака</w:t>
      </w:r>
    </w:p>
    <w:p w:rsidR="00666923" w:rsidRPr="00103570" w:rsidRDefault="00666923" w:rsidP="00666923">
      <w:pPr>
        <w:ind w:left="4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4</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Финансијски извештаји приказују информације које су разумљиве, релевантне за потребе одлучивања и одговорности корисника, упоредиве, благовремене, проверљиве и верно представљају приливе готовине, одливе готовине и готовинска салда ентитета и остале обелодањене информације на начин да су потпуне, неутралне и без материјалних грешака.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Материјалну значајност поседује информација уколико њено изостављање или нетачно приказивање може утицати на одлуке или процене корисника финансијских извештаја. Информација је материјално значајна ако би њено изостављање, односно погрешно приказивање могло утицати на ослобађање од одговорности.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lastRenderedPageBreak/>
        <w:t xml:space="preserve">Материјална значајност зависи од природе или величине ставке као и од њеног утицаја на будуће финансијске и нефинансијске информације.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Када се у текућој години уочи грешка из претходног периода, врши се исправка грешке, а финансијски извештаји, укључујући упоредне информације за претходне периоде, приказују се као да је грешка коригована у периоду у коме је настала.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Грешке из претходних периода су изостављања информација из финансијских извештаја или погрешна приказивања информација за један или више претходних периода које се јављају услед некоришћења или злоупотребе поузданих информација које су биле доступне када је одобрено објављивање финансијских извештаја за те периоде и за које би се могло оправдано очекивати да су добијене и узете у разматрање у припреми или презентацији тих финансијских извештаја.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Грешке могу настати као резултат математичких грешака, грешака у примени рачуноводствених политика, погрешног тумачењa чињеница, проневером или превидима.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Материјално безначајне грешке се не исправљају, него се пословни догађаји из претходног периода који нису евидентирани у периоду у којем су настали, који су евидентирани у погрешном износу или су погрешно класификовани, приказују у текућем извештајном периоду.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Материјално значајна грешка је она чије би изостављање или нетачно приказивање утицало на одлуке или процене корисника финансијских извештаја. Грешка je материјално значајна ако је износ грешке једнак или већи од 3% поједине врсте прилива или одлива готовине на синтетичком нивоу економске класификације. </w:t>
      </w:r>
    </w:p>
    <w:p w:rsidR="00666923" w:rsidRPr="00103570" w:rsidRDefault="00351B4D" w:rsidP="00666923">
      <w:pPr>
        <w:ind w:left="4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Извештајни период, извештајни датум  и датум одобравања</w:t>
      </w:r>
    </w:p>
    <w:p w:rsidR="00666923" w:rsidRPr="00103570" w:rsidRDefault="00666923" w:rsidP="00666923">
      <w:pPr>
        <w:ind w:left="4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5</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Финансијски извештаји опште намене подносе се најмање једном годишње.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Извештајни период обухвата период од 1. јануара до 31. децембра, док је извештајни датум последњи дан извештајног периода на који се односе финансијски извештаји, односно 31. децембар.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У ванредним условима може се променити извештајни датум односно извештаји се могу поднети за период дужи или краћи од године дана.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Датум одобравања је датум на који су финансијски извештаји одобрени за објављивање од стране лица или тела, који имају овлашћење за финализацију извештаја ради објављивања (навести функцију лица које има наведена овлашћења).  </w:t>
      </w:r>
    </w:p>
    <w:p w:rsidR="00666923" w:rsidRPr="00103570" w:rsidRDefault="00351B4D" w:rsidP="00666923">
      <w:pPr>
        <w:ind w:left="4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Страна валута</w:t>
      </w:r>
    </w:p>
    <w:p w:rsidR="00666923" w:rsidRPr="00103570" w:rsidRDefault="00666923" w:rsidP="00666923">
      <w:pPr>
        <w:ind w:left="4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lastRenderedPageBreak/>
        <w:t>Члан 6</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Страна валута је валута различита од валуте презентације извештаја (динара).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Закључни курс је курс размене валута на датум извештавања.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Курсна разлика је разлика која проистиче из превођења датог броја јединица једне валуте у другу валуту по различитим девизним курсевима.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Девизни курс је коефицијент размене двеју валута.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Приливи и одливи готовине настали из трансакција у страној валути, евидентирају се у динарима, примењујући, на износ у страној валути, курс размене између динара и стране валуте на датум прилива и одлива. </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Готовинска салда у страној валути приказују се по закључном курсу који представља средњи курс Народне банке Србије на дан 31. децембар, односно на датум извештавања када се финансијски извештај подноси за период дужи или краћи од године дана. </w:t>
      </w:r>
    </w:p>
    <w:p w:rsidR="00666923" w:rsidRPr="00103570" w:rsidRDefault="00351B4D" w:rsidP="00666923">
      <w:pPr>
        <w:ind w:left="4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Доследност презентације</w:t>
      </w:r>
    </w:p>
    <w:p w:rsidR="00666923" w:rsidRPr="00103570" w:rsidRDefault="00666923" w:rsidP="00666923">
      <w:pPr>
        <w:ind w:left="4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7</w:t>
      </w:r>
    </w:p>
    <w:p w:rsidR="00666923"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Начин презентације и класификације ставки у финансијским извештајима задржава се од једног до другог извештајног периода, осим ако се утврди да би другачија презентација или класификација била прикладнија због значајне промене природе пословања или прегледа презентације финансијских извештаја или се промена презентације захтева изменама и допунама IPSAS на готовинској основи. </w:t>
      </w:r>
    </w:p>
    <w:p w:rsidR="00351B4D" w:rsidRPr="00103570" w:rsidRDefault="00351B4D"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Када се презентација или класификација ставки промени у текућем, у односу на претходни извештајни период, врши се рекласификација износа из претходне године, увек када је то изводљиво.</w:t>
      </w:r>
    </w:p>
    <w:p w:rsidR="00666923" w:rsidRPr="00103570" w:rsidRDefault="00666923" w:rsidP="00666923">
      <w:pPr>
        <w:ind w:left="4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II. ПРИЗНАВАЊЕ БИЛАНСНИХ ПОЗИЦИЈА</w:t>
      </w:r>
    </w:p>
    <w:p w:rsidR="00666923" w:rsidRPr="00103570" w:rsidRDefault="00666923" w:rsidP="00351B4D">
      <w:pPr>
        <w:ind w:left="45"/>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За признавање, процењивање и презентацију позиција финансијских извештаја користи се готовинска основа рачуноводства у складу са Међународним рачуноводственим стандардом за јавни сектор (International Public Sector Accounting Standards – IPSAS) на готовинској основи, прописима о буџетском рачуноводству, правилником којим се уређују рачуноводствене политике корисника буџетских средстава и корисника средстава организација за обавезно социјално осигурање и рачуноводственим политикама Корисника.  </w:t>
      </w:r>
    </w:p>
    <w:p w:rsidR="0031603A" w:rsidRPr="00103570" w:rsidRDefault="0031603A" w:rsidP="00666923">
      <w:pPr>
        <w:pStyle w:val="ListParagraph"/>
        <w:ind w:left="405"/>
        <w:jc w:val="center"/>
        <w:rPr>
          <w:rFonts w:ascii="Times New Roman" w:hAnsi="Times New Roman" w:cs="Times New Roman"/>
          <w:sz w:val="24"/>
          <w:szCs w:val="24"/>
          <w:lang w:val="sr-Cyrl-RS"/>
        </w:rPr>
      </w:pPr>
    </w:p>
    <w:p w:rsidR="00666923" w:rsidRPr="00103570" w:rsidRDefault="00666923" w:rsidP="00575DED">
      <w:pPr>
        <w:pStyle w:val="ListParagraph"/>
        <w:ind w:left="76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Текући приходи – Класа 7</w:t>
      </w:r>
    </w:p>
    <w:p w:rsidR="00666923" w:rsidRPr="00103570" w:rsidRDefault="00666923" w:rsidP="00666923">
      <w:pPr>
        <w:pStyle w:val="ListParagraph"/>
        <w:ind w:left="40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lastRenderedPageBreak/>
        <w:t>Члан 8</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Текући приходи буџета јединице локалне самоуправе обезбеђују се из изворних јавних прихода, уступљених јавних прихода и трансферних средстава.  </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Изворни приходи су приходи чију стопу, начин и мерила за утврђивање висине износа, утврђује јединица локалне самоуправе, при чему се законом може ограничити висина пореске стопе, односно утврдити највиши и најнижи износ накнаде, односно таксе. </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Уступљени приходи су они приходи чија се основица, стопа, начин и мерила за утврђивање висине износа утврђују законом, а приход остварен на територији јединице локалне самоуправе се уступа у целини или делимично тој јединици локалне самоуправе. </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Трансферна средства обухватају немаменске трансфере од Републике и наменске трансфере који се користе за финансирање одређених функција и издатака. </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У текуће приходе спадају следеће категорије:  </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1) Порези – порези на доходак, добит и капиталне добитке, порез на имовину, порез на добра и услуге и други порези; </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2) Социјални доприноси – доприноси за социјално осигурање и остали социјални доприноси; </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3) Донације, помоћи и трансфери – донације од иностраних држава, донације и помоћи од међународних организација и трансфери од других нивоа власти; </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4) Други приходи – приходи од имовине, приходи од продаје добара и услуга, новчане казне и одузета имовинска корист, добровољни трансфери од физичких и правних лица, мешовити и неодређени приходи; </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5) Меморандумске ставке за рефундацију расхода;  </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6) Трансфери између буџетских корисника на истом нивоу. </w:t>
      </w:r>
    </w:p>
    <w:p w:rsidR="00666923"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Текући приходи се, сходно готовинској основи, евидентирају у моменту наплате тј. прилива средстава на рачун корисника.  </w:t>
      </w:r>
    </w:p>
    <w:p w:rsidR="0031603A"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Обрачунати ненаплаћени текући приходи евидентирају се у оквиру пасивних временских разграничења.  </w:t>
      </w:r>
    </w:p>
    <w:p w:rsidR="0031603A"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Повраћај неутрошених буџетских средстава од стране буџетских корисника евидентира се код буџетског корисника као сторно прихода и у кор</w:t>
      </w:r>
      <w:r w:rsidR="0031603A" w:rsidRPr="00103570">
        <w:rPr>
          <w:rFonts w:ascii="Times New Roman" w:hAnsi="Times New Roman" w:cs="Times New Roman"/>
          <w:sz w:val="24"/>
          <w:szCs w:val="24"/>
          <w:lang w:val="sr-Cyrl-RS"/>
        </w:rPr>
        <w:t>ист обавезе према буџету Града</w:t>
      </w:r>
      <w:r w:rsidRPr="00103570">
        <w:rPr>
          <w:rFonts w:ascii="Times New Roman" w:hAnsi="Times New Roman" w:cs="Times New Roman"/>
          <w:sz w:val="24"/>
          <w:szCs w:val="24"/>
          <w:lang w:val="sr-Cyrl-RS"/>
        </w:rPr>
        <w:t xml:space="preserve">. </w:t>
      </w:r>
    </w:p>
    <w:p w:rsidR="0031603A" w:rsidRPr="00103570" w:rsidRDefault="0031603A" w:rsidP="0031603A">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9</w:t>
      </w:r>
    </w:p>
    <w:p w:rsidR="0031603A"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b/>
          <w:sz w:val="24"/>
          <w:szCs w:val="24"/>
          <w:lang w:val="sr-Cyrl-RS"/>
        </w:rPr>
        <w:lastRenderedPageBreak/>
        <w:t>Донација</w:t>
      </w:r>
      <w:r w:rsidRPr="00103570">
        <w:rPr>
          <w:rFonts w:ascii="Times New Roman" w:hAnsi="Times New Roman" w:cs="Times New Roman"/>
          <w:sz w:val="24"/>
          <w:szCs w:val="24"/>
          <w:lang w:val="sr-Cyrl-RS"/>
        </w:rPr>
        <w:t xml:space="preserve"> је наменски бесповратни приход који се остварује на основу писаног уговора између даваоца и примаоца донације. Обухвата бесповратно примљена средства од иностраних држава и међународних организација. Донације од иностраних држава се евидентирају на извору финасирања 05 док се донације од међународних организација евидентирају на извору финансирања 06. Донације могу бити капиталне и текуће.  </w:t>
      </w:r>
    </w:p>
    <w:p w:rsidR="0031603A"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Донације обухватају и поклоне у натури, а евидентирају се у пословним књигама као повећање нефинансијске имовине и извора капитала. Остатак неутрошених средстава на име примљених донација преноси се у наредну годину за исту намену на извор финасирања 15 – Неутрошена средства донација, помоћи и трансфера из ранијих година. </w:t>
      </w:r>
    </w:p>
    <w:p w:rsidR="0031603A"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b/>
          <w:sz w:val="24"/>
          <w:szCs w:val="24"/>
          <w:lang w:val="sr-Cyrl-RS"/>
        </w:rPr>
        <w:t>Трансферна средства</w:t>
      </w:r>
      <w:r w:rsidRPr="00103570">
        <w:rPr>
          <w:rFonts w:ascii="Times New Roman" w:hAnsi="Times New Roman" w:cs="Times New Roman"/>
          <w:sz w:val="24"/>
          <w:szCs w:val="24"/>
          <w:lang w:val="sr-Cyrl-RS"/>
        </w:rPr>
        <w:t xml:space="preserve"> су средства која се из буџета Републике Србије, односно буџета локалне власти преносе буџету на другом нивоу власти, буџету на истом нивоу власти и организацијама за обавезно социјално осигурање, као и између организација за обавезно социјално осигурање за доприносе за осигурање. </w:t>
      </w:r>
    </w:p>
    <w:p w:rsidR="0031603A" w:rsidRPr="00103570" w:rsidRDefault="00666923"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Приход по основу трансфера од другог нивоа власти евидентира се на извору финансирања 07 – Трансфери од других нивоа власти. </w:t>
      </w:r>
    </w:p>
    <w:p w:rsidR="0031603A" w:rsidRPr="00103570" w:rsidRDefault="0031603A" w:rsidP="00575DED">
      <w:pPr>
        <w:pStyle w:val="ListParagraph"/>
        <w:ind w:left="76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Текући расходи – Класа 4</w:t>
      </w:r>
    </w:p>
    <w:p w:rsidR="0031603A" w:rsidRPr="00103570" w:rsidRDefault="0031603A" w:rsidP="0031603A">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10</w:t>
      </w:r>
    </w:p>
    <w:p w:rsidR="0031603A" w:rsidRPr="00103570" w:rsidRDefault="0031603A"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Текући расходи обухватају расходе који се јављају код буџетских корисника у вршењу функције за коју су основани.  </w:t>
      </w:r>
    </w:p>
    <w:p w:rsidR="0031603A" w:rsidRPr="00103570" w:rsidRDefault="0031603A"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Текући расходи обухватају: расходе за запослене, коришћење услуга и роба, амортизацију и употребу средстава за рад, расходе камата и пратећих трошкова задуживања, субвенције, донације, дотације и трансфере, социјално осигурање и социјалну заштиту, остале расходе.  </w:t>
      </w:r>
    </w:p>
    <w:p w:rsidR="0031603A" w:rsidRPr="00103570" w:rsidRDefault="0031603A"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Текући расходи и издаци се евидентирају у моменту када је плаћање извршено.  </w:t>
      </w:r>
    </w:p>
    <w:p w:rsidR="0031603A" w:rsidRPr="00103570" w:rsidRDefault="0031603A"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Расходи који су настали, а нису плаћени, евидентирају се задужењем обрачунатих неплаћених расхода/издатака преко активних временских разграничења уз истовремено одобрење одговарајућег конта обавеза.  </w:t>
      </w:r>
    </w:p>
    <w:p w:rsidR="0031603A" w:rsidRPr="00103570" w:rsidRDefault="0031603A"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Унапред плаћени аванси приликом исплате истовремено се евидентирају и на категорији расхода, односно издатака. </w:t>
      </w:r>
    </w:p>
    <w:p w:rsidR="0031603A" w:rsidRPr="00103570" w:rsidRDefault="0031603A"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Расходи који су унапред плаћени, сходно готовинској основи, евидентирају се у категорији расхода према одређеној намени.  </w:t>
      </w:r>
    </w:p>
    <w:p w:rsidR="0031603A" w:rsidRPr="00103570" w:rsidRDefault="0031603A" w:rsidP="0031603A">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11</w:t>
      </w:r>
    </w:p>
    <w:p w:rsidR="00C4791F" w:rsidRPr="00103570" w:rsidRDefault="0031603A"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lastRenderedPageBreak/>
        <w:t xml:space="preserve">Расходи за запослене обухватају: расходе за плате, додатке и накнаде запослених (зараде), социјалне доприносе на терет послодавца, накнаде у натури, социјална давања запосленима, накнаде трошкова за запослене, награде запосленима и остале посебне расходе.  </w:t>
      </w:r>
    </w:p>
    <w:p w:rsidR="00C4791F" w:rsidRPr="00103570" w:rsidRDefault="00C4791F" w:rsidP="00C4791F">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12</w:t>
      </w:r>
    </w:p>
    <w:p w:rsidR="00C4791F" w:rsidRPr="00103570" w:rsidRDefault="0031603A"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Коришћење услуга и роба обухвата: сталне трошкове, трошкове путовања, услуге по уговору, специјализоване услуге, текуће поправке и одржавање и материјал.  </w:t>
      </w:r>
    </w:p>
    <w:p w:rsidR="00C4791F" w:rsidRPr="00103570" w:rsidRDefault="00C4791F" w:rsidP="00C4791F">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13</w:t>
      </w:r>
    </w:p>
    <w:p w:rsidR="00C4791F" w:rsidRPr="00103570" w:rsidRDefault="0031603A"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Обрачуната исправка вредности нефинансијске имовине –амортизација исказује на терет капитала, односно не исказују расход амортизације и употребе средстава за рад, сагласно закону којим се уређује буџет Републике Србије </w:t>
      </w:r>
    </w:p>
    <w:p w:rsidR="00C4791F" w:rsidRPr="00103570" w:rsidRDefault="00C4791F" w:rsidP="00575DED">
      <w:pPr>
        <w:pStyle w:val="ListParagraph"/>
        <w:ind w:left="765"/>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Издаци за нефинансијску имовину – Класа 5</w:t>
      </w:r>
    </w:p>
    <w:p w:rsidR="00C4791F" w:rsidRPr="00103570" w:rsidRDefault="00C4791F" w:rsidP="00C4791F">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14</w:t>
      </w:r>
    </w:p>
    <w:p w:rsidR="00C4791F"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Издаци за нефинансијску имовину обухватају издатке за: основна средства (зграде и грађевинске објекте, машине и опрему, остале некретнине и опрему, култивисану имовину и нематеријална имовина), залихе (робне резерве, залихе производње и залихе робе за даљу продају), драгоцености и природну имовину (земљиште, рудна богатства, шуме и воде).  </w:t>
      </w:r>
    </w:p>
    <w:p w:rsidR="00C4791F"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Евидентирање издатака за нефинансијску имовину врши се у моменту исплате, уз истовремено повећање вредности нефинансијске имовине у класи 0 – Нефинансијска имовина и у класи 3 – Капитал. </w:t>
      </w:r>
    </w:p>
    <w:p w:rsidR="00C4791F" w:rsidRPr="00103570" w:rsidRDefault="00C4791F" w:rsidP="00C4791F">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Нефинансијска имовина – Класа 0</w:t>
      </w:r>
    </w:p>
    <w:p w:rsidR="00C4791F" w:rsidRPr="00103570" w:rsidRDefault="00C4791F" w:rsidP="00C4791F">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15</w:t>
      </w:r>
    </w:p>
    <w:p w:rsidR="00C4791F"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Нефинансијска имовина представља имовину у материјалном облику. Може бити у сталним средствима или у залихама.  Нефинансијска имовина се разврстава у стална средства или залихе у зависности од тога да ли ће се средство користити више година, односно да ли је правилником којим се уређује номенклатура нематеријалних улагања и основних средстава са стопама амортизације предвиђена његова амортизација током периода коришћења. </w:t>
      </w:r>
    </w:p>
    <w:p w:rsidR="00C4791F" w:rsidRPr="00103570" w:rsidRDefault="00C4791F" w:rsidP="00C4791F">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16</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Нефинансијска имовина у сталним средствима обухвата некретнине и опрему, култивисану имовину, драгоцености, природну имовину, нефинансијску имовину у припреми и авансе и нематеријалну имовину.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Некретнине и опрема обухватају: зграде и грађевинске објекте, опрему и остале некретнине и опрему.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lastRenderedPageBreak/>
        <w:t xml:space="preserve">Нематеријална имовина обухвата компјутерске софтвере, књижевна и уметничка дела, патенте и другу нематеријалну имовину.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Нефинансијска имовина у сталним средствима евидентира се по набавној вредности умањеној за исправку вредности по основу амортизације. Набавну вредност чини фактурна вредност увећана за зависне трошкове настале до момента стављања у употребу. Издаци за пројектну и другу документацију, за добијање потребних дозвола, уређивање пратећих површина и други издаци који прате изградњу објеката увећавају вредност објекта и укључују се у његову набавну вредност. Набавну вредност опреме, поред фактурне вредности чине и издаци за превоз, монтажу, проверу техничке исправности опреме, прибављање дозвола за стављање у употребу и друго.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Нефинансијска имовина у сталним средствима која је стечена без накнаде књиговодствено се евидентира по садашњој вредности у моменту преузимања по којој је основно средство вођено код претходног власника, увећана за издатке преноса, превоза и других зависних трошкова ако их је било.  Нефинансијском имовином у сталним средствима сматрају се она средства чији је очекивани корисни век употребе дужи од једне године.  Стамбене зграде за општу употребу и станови евидентирају се као остале стамбене зграде у оквиру субаналитичког конта 011115 – Остале стамбене зграде. Примања настала приликом продаје основних средстава евидентирају се задужењем текућег рачуна уз одобрење примања од продаје нефинансијске имовине у класи 8 – Примања од продаје нефинансијске имовине.  </w:t>
      </w:r>
    </w:p>
    <w:p w:rsidR="00B71FAB" w:rsidRPr="00103570" w:rsidRDefault="00B71FAB" w:rsidP="00B71FAB">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17</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Амортизација основних средстава је процес смањења вредности (трошења) дуготрајне имовине током времена, услед употребе, старења и технолошког напретка.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Нефинансијска имовина амортизује се годишњим стопама амортизације прописаним Правилником о номенклатури нематеријалних улагања и основних средстава са стопама амортизације.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Нематеријална улагања и основна средства распоређују се у амортизационе групе и делове амортизационих група прописане у Номенклатури. Основна средства која по називу или ближем опису назива нису наведена у Номенклатури, распоређују се у амортизационе групе, односно делове амортизационих група у које су распоређена њима најсличнија основна средства. Сличност основних средстава одређује се према намени којој служе, а у оквиру исте намене – према врсти материјала употребљеног за њихову изградњу, односно израду. Ако је за изградњу, односно израду основног средства употребљен различит материјал, за одређивање сличности узима се материјал који је претежно употребљен, а претежност се израчунава према вредности тог материјала у односу на друге материјале употребљене за изградњу, односно израду основног средства.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lastRenderedPageBreak/>
        <w:t xml:space="preserve">Амортизација сталне нефинансијске имовине – некретнине и опрема (основна средства) обрачунава се за свако средство појединачно по законом прописаним стопама које су одређене тако да се набавна вредност основних средстава амортизује применом пропорционалне (линеарне) методе у току предвиђеног века употребе основног средства.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Обрачун амортизације основних средстава се врши од првог дана у наредном месецу у односу на месец када је средство пуштено у употребу, а приликом отуђивања/расходовања аморизација се врши до краја месеца у коме је основно средство отуђено/расходовано.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Амортизација се обрачунава док се у целини не надокнади вредност која чини основицу за обрачунавање амортизације, односно док не достигне нулту књиговодствену вредност или док се не расходује или отуђи.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Књижење обрачунатог отписа (амортизације) нематеријалних улагања и основних средстава врши се на терет извора средстава (капитала) задужењем одговарајућег субаналитичког конта у групи 310000 – Капитал и одобрењем одговарајућег субаналитичког конта исправке вредности у класи 0 – Нефинансијска имовина, осим у случају када је законом о буџету Републике Србије за текућу годину предвиђен другачији начин књижења.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Једном отписано основно средство, без обзира на то што се и даље користи, не може бити предмет поновног процењивања вредности и не подлеже отписивању док га користи исто правно лице. </w:t>
      </w:r>
    </w:p>
    <w:p w:rsidR="00B71FAB" w:rsidRPr="00103570" w:rsidRDefault="00B71FAB" w:rsidP="00B71FAB">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18</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Расход нефинансијске имовине у сталним средствима представља губитак који је настао као последица смањења употребне или тржишне вредности основног средства услед коришћења, изложености природним утицајима или технолошке застарелости што за последицу има одступање његове стварне вредности у односу на књиговодствену вредност (због квара, оштећења, з</w:t>
      </w:r>
      <w:r w:rsidR="00B71FAB" w:rsidRPr="00103570">
        <w:rPr>
          <w:rFonts w:ascii="Times New Roman" w:hAnsi="Times New Roman" w:cs="Times New Roman"/>
          <w:sz w:val="24"/>
          <w:szCs w:val="24"/>
          <w:lang w:val="sr-Cyrl-RS"/>
        </w:rPr>
        <w:t xml:space="preserve">астарелости и других фактора).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Расходовано средства које је неупотребљиво продаје се као секундарна сировина. Расходовано средство које се не може продати као секундарна сировина се уништава.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Губитак настао приликом отуђивања и расходовања основних средстава представља смањење вредности нефинансијске имовине у сталним средствима и капитала.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Расходовање електричне и електронске опреме врши се у складу са законом којим се уређује управљање отпадом.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За нефинансијску имовину која се расходује или отуђује, а која у време расходовања или отуђења има садашњу вредност, пре искњижења из књиговодствене евиденције врши се обрачун амортизације, након чега се искњижава задужењем одговарајућег субаналитичког </w:t>
      </w:r>
      <w:r w:rsidRPr="00103570">
        <w:rPr>
          <w:rFonts w:ascii="Times New Roman" w:hAnsi="Times New Roman" w:cs="Times New Roman"/>
          <w:sz w:val="24"/>
          <w:szCs w:val="24"/>
          <w:lang w:val="sr-Cyrl-RS"/>
        </w:rPr>
        <w:lastRenderedPageBreak/>
        <w:t xml:space="preserve">конта исправке вредности за износ отписане вредности и одговарајућег субаналитичког конта у класи 3 – Капитал за износ неотписане (садашње) вредности, а одобрењем одговарајућег конта нефинансијске имовине у класи 0 – </w:t>
      </w:r>
    </w:p>
    <w:p w:rsidR="00B71FAB"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Нефинансијска имовина за износ набавне вредности. Нефинансијска имовина која се расходује или отуђује, а која у време расходовања или отуђења нема садашњу вредност, тако да су набавна и отписана вредност једнаке, искњижава се задужењем одговарајућег субаналитичког конта исправке вредности за износ отписане вредности и одобрењем одговарајућег конта нефинансијске имовине у класи 0 – Нефинансијска имовина за износ набавне вредности. </w:t>
      </w:r>
    </w:p>
    <w:p w:rsidR="00666923" w:rsidRPr="00103570" w:rsidRDefault="00C4791F"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Расходовање и отуђење нефинансијске имовине у сталним средствима спроводи се по одлуци градског/општинског већа/надлежног органа корисника, а на предлог пописне комисије.</w:t>
      </w:r>
    </w:p>
    <w:p w:rsidR="00B71FAB" w:rsidRPr="00103570" w:rsidRDefault="00B71FAB" w:rsidP="00B71FAB">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 Финансијска имовина – Класа 1</w:t>
      </w:r>
    </w:p>
    <w:p w:rsidR="00B71FAB" w:rsidRPr="00103570" w:rsidRDefault="00B71FAB" w:rsidP="00B71FAB">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19</w:t>
      </w:r>
    </w:p>
    <w:p w:rsidR="00B71FAB" w:rsidRPr="00103570" w:rsidRDefault="00B71FAB"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Дугорочна финансијска имовина (домаћа и страна) састоји се од дугорочних хартија од вредности, акција и осталог капитала, страних финансијских деривата и кредита осталим нивоима власти, страним владама, домаћим јавним финансијским и нефинансијским институцијама, пословним банкама, физичким лицима и домаћинствима у земљи, невладиним организацијама, домаћим нефинансијским приватним предузећима, међународним организацијама, страним финансијским институцијама.</w:t>
      </w:r>
    </w:p>
    <w:p w:rsidR="00B71FAB" w:rsidRPr="00103570" w:rsidRDefault="00B71FAB" w:rsidP="00B71FAB">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20</w:t>
      </w:r>
    </w:p>
    <w:p w:rsidR="00B71FAB" w:rsidRPr="00103570" w:rsidRDefault="00B71FAB"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Готовина представља готовинска средства на располагању и депозите у банкарским институцијама који се могу повући на захтев. </w:t>
      </w:r>
    </w:p>
    <w:p w:rsidR="00B71FAB" w:rsidRPr="00103570" w:rsidRDefault="00B71FAB"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Готовина обухвата готовинска средства обухваћена на синтетичким контима, и то: 121100 – Жиро и текући рачуни, 121200 – Издвојена новчана средства и акредитиви, 121300 – Благајна, 121400 – Девизни рачун, 121500 – Девизни акредитиви, 121600 – Девизна благајна, 121700 – Остала новчана средства и депозите по виђењу који се могу повући на захтев ентитета, а који су обухваћени на аналитичким контима: 123910 – Краткорочно орочена динарска средства и 123920 – Краткорочно орочена девизна средства. </w:t>
      </w:r>
    </w:p>
    <w:p w:rsidR="00B71FAB" w:rsidRPr="00103570" w:rsidRDefault="00B71FAB"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Готовина у домаћој валути исказује се по номиналној вредности.  </w:t>
      </w:r>
    </w:p>
    <w:p w:rsidR="00B71FAB" w:rsidRPr="00103570" w:rsidRDefault="00B71FAB"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Готовина у страној валути исказује се у динарима, према одговарајућој противвредности стране валуте по средњем курсу Народне банке Србије на датум стицања. На последњи дан извештајног периода на који се односи финансијски извештај, готовина у страној валути </w:t>
      </w:r>
      <w:r w:rsidRPr="00103570">
        <w:rPr>
          <w:rFonts w:ascii="Times New Roman" w:hAnsi="Times New Roman" w:cs="Times New Roman"/>
          <w:sz w:val="24"/>
          <w:szCs w:val="24"/>
          <w:lang w:val="sr-Cyrl-RS"/>
        </w:rPr>
        <w:lastRenderedPageBreak/>
        <w:t xml:space="preserve">исказује се у динарима, према одговарајућој противвредности стране валуте по средњем курсу Народне банке Србије на датум извештавања. </w:t>
      </w:r>
    </w:p>
    <w:p w:rsidR="00B71FAB" w:rsidRPr="00103570" w:rsidRDefault="00B71FAB"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Нереализовани добици и губици, који произлазе из промена курсева страних валута, нису новчани токови. </w:t>
      </w:r>
    </w:p>
    <w:p w:rsidR="00B71FAB" w:rsidRPr="00103570" w:rsidRDefault="00B71FAB"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Негативне и позитивне курсне разлике настале на готовини у страној валути исказују се у Извештају о новчаним токовима као ефекти курсних разлика на салдо готовине у девизама.</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Готовина коју (корисник) контролише је готовина која се користи за остварење сопствених циљева, или када се могу на други начин остварити користи од готовине и када може да онемогући или контролише приступ других тој користи. Готовина коју је (корисник) остварио или која му је додељена, а коју може да користи за финансирање својих пословних циљева, стицање капиталне имовине или за отплату дуга, јесте готовина коју контролише ентитет. Готовину коју контролише (корисник) презентује у Извештају о новчаним токовима.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Износи које је (корисник) депоновао на рачуну банке који је под његовом контролом су под контролом (корисник).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Корисник који је укључен у Систем за припрему, извршење, рачуноводство и извештавање – СПИРИ и нема сопствене рачуне, већ обавља трансакције преко евиденционог рачуна, не контролише директно готовину која му је додељена или му је на други начин дато одобрење да је утроши. </w:t>
      </w:r>
    </w:p>
    <w:p w:rsidR="00493655" w:rsidRPr="00103570" w:rsidRDefault="00493655" w:rsidP="00493655">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21</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Готовински токови представљају приливе и одливе готовине и готовинских еквивалената.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Готовински токови искључују кретања између ставки које чине готовину, јер су ове компоненте део управљања готовином ентитета, а не повећања или умањења готовине коју ентитет контролише.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Управљање готовином укључује улагања вишка расположиве готовине у готовинске еквиваленте.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Готовински токови у Извештају о новчаним токовима обухватају новчане токове из пословне активности, новчане токове из активности инвестирања и новчане токове из финансијске активности.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Финансијске активности су активности које доводе до измена величине и састава сопственог капитала и позајмица ентитета.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Пословне активности су активности ентитета које не спадају у активности инвестирања или финансијске активности.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lastRenderedPageBreak/>
        <w:t xml:space="preserve">Готовински приливи из пословних активности обухватају приливе од пореза, приливе од акциза, приливе од социјалних доприноса, приливе од донација, помоћи и трансфера, приливе од имовине, приливе од продаје добара и услуга, приливе од новчаних казни и одузете имовинске користи, приливе од добровољних трансфера од физичких и правних лица, приливе од мешовитих и неодређених прихода, приливе за меморандумске ставке за рефундацију расхода и приливе од трансфера између ентитета.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Износ појединих врста новчаних прилива из пословних активности у Извештају о новчаним токовима преузима се са истоимених субаналитичких конта класе 7 – Приходи. Уколико су одређени приходи наплаћени, али нису исказани на субаналитичким контима класе 7 – Приходи, потребно их је додати у Извештају о новчаним токовима. Уколико су одређени приходи исказани на субаналитичким контима класе 7 – Приходи, а нису наплаћени, не исказују се као готовински приливи у Извештају о новчаним токовима.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Неискоришћена средства донација, хуманитарне помоћи и финансијске помоћи Европске уније у девизама која су прилив извештајног периода и чине салдо девизних рачуна примаоца донације на дан 31. децембра, књижена на одговарајућим субаналитичким контима у оквиру синтетичког конта 121400 – Девизни рачун, додају се на одговарајуће износе прилива исказане на одговарајућим синтетичким контима категорије 730000 – Донације, помоћи и трансфери.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Готовински одливи из пословних активности обухватају одливе по основу расхода за запослене, одливе по основу коришћења услуга и роба, одливе за отплату камате и пратеће трошкове задуживања, одливе за субвенције, донације, дотације и трансфере, одливе за социјално осигурање и социјалну заштиту и одливе за остале расходе.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Износ појединих врста готовинских одлива из пословних активности у Извештај о новчаним токовима преузима се са истоимених субаналитичких конта класе 4 – Расходи. Уколико су одређени расходи плаћени, али нису исказани на субаналитичким контима класе 4 – Расходи, потребно их је додати у Извештају о новчаним токовима. Расходи евидентирани на одговарајућим субаналитичким контима класе 4 – Расходи који нису плаћени, не исказују се као готовински одливи у Извештају о новчаним токовима.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Готовински одливи из инвестиционе активности обухватају одливе настале куповином нефинансијске и финансијске имовине. Износ појединих врста готовинских одлива за куповину нефинансијске имовине преузима се са истоимених субаналитичких конта класе 5 – Издаци за нефинансијску имовину, док се износ појединих врста готовинских одлива за набавку финансијске имовине преузима са истоимених субаналитичких конта класе 6 – Издаци за отплату главнице и набавку финансијске имовине, категорије 620000 – Набавка финансијске имовине. Издаци евидентирани на субаналитичким контима класе 5 – Издаци за нефинансијску имовину и одговарајућим субаналитичким контима категорије 620000 – Набавка финансијске имовине, који нису довели до новчаних токова, не исказују се у </w:t>
      </w:r>
      <w:r w:rsidRPr="00103570">
        <w:rPr>
          <w:rFonts w:ascii="Times New Roman" w:hAnsi="Times New Roman" w:cs="Times New Roman"/>
          <w:sz w:val="24"/>
          <w:szCs w:val="24"/>
          <w:lang w:val="sr-Cyrl-RS"/>
        </w:rPr>
        <w:lastRenderedPageBreak/>
        <w:t xml:space="preserve">Извештају о новчаним токовима као готовински одливи. Плаћени издаци за набавку нефинансијске и финансијске имовине, који нису исказани на субаналитичким контима класе 5 – Издаци за нефинансијску имовину и одговарајућим субаналитичким контима категорије 620000 – Набавка финансијске имовине, исказују се као одливи готовине из инвестиционе активности. </w:t>
      </w:r>
    </w:p>
    <w:p w:rsidR="00493655" w:rsidRPr="00103570" w:rsidRDefault="00493655" w:rsidP="00493655">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Обавезе – Класа 2</w:t>
      </w:r>
    </w:p>
    <w:p w:rsidR="00493655" w:rsidRPr="00103570" w:rsidRDefault="00493655" w:rsidP="00493655">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22</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Обавезе се процењују у висини номиналних износа који проистичу из пословних и финансијских трансакција. Смањење обавеза по основу закона, ванпарничног поравнања и сл. врши се директним отписивањем.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Обавезе обухватају: домаће и стране дугорочне и краткорочне обавезе, обавезе по основу расхода за запослене, обавезе по основу осталих расхода изузев расхода за запослене и обавезе из пословања.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Краткорочне обавезе обухватају све обавезе буџетских корисника које имају рок доспећа до годину дана.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Дугорочне обавезе су обавезе са роком доспећа дужим од годину дана.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Обавезе по основу расхода за запослене не могу се преузимати за расходе за запослене чија је исплата забрањена или ограничена законом којим се утврђује буџет Републике Србије за текућу годину.</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Обавезе по основу осталих расхода обухватају обавезе по основу дотација невладиним организацијама, обавезе за остале порезе, обавезне таксе, казне и камате, обавезе по основу казни и пенала по решењима судова, обавезе по основу накнаде штете за повреде и штете услед елементарних непогода и обавезе по основу накнаде штете или повреда нанетих од стране државних органа.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Обавезе из пословања обухватају примљене авансе, депозите и кауције, обавезе према добављачима у земљи и иностранству, обавезе за издате чекове и обвезнице, обавезе из односа буџета и буџетских корисника и остале обавезе.  </w:t>
      </w:r>
    </w:p>
    <w:p w:rsidR="008A0466" w:rsidRPr="00103570" w:rsidRDefault="00493655" w:rsidP="008A0466">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 Капитал, утврђивање резултата пословања  и ванбилансна евиденција – Класа 3</w:t>
      </w:r>
    </w:p>
    <w:p w:rsidR="008A0466" w:rsidRPr="00103570" w:rsidRDefault="008A0466" w:rsidP="008A0466">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23</w:t>
      </w:r>
    </w:p>
    <w:p w:rsidR="008A0466"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У оквиру класе 3 евидентира се капитал, утврђивање резултата пословања, добити које су резултат промене вредности, друге промене у обиму и ванбилансна евиденција. </w:t>
      </w:r>
    </w:p>
    <w:p w:rsidR="008A0466"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b/>
          <w:sz w:val="24"/>
          <w:szCs w:val="24"/>
          <w:lang w:val="sr-Cyrl-RS"/>
        </w:rPr>
        <w:lastRenderedPageBreak/>
        <w:t>Капитал</w:t>
      </w:r>
      <w:r w:rsidRPr="00103570">
        <w:rPr>
          <w:rFonts w:ascii="Times New Roman" w:hAnsi="Times New Roman" w:cs="Times New Roman"/>
          <w:sz w:val="24"/>
          <w:szCs w:val="24"/>
          <w:lang w:val="sr-Cyrl-RS"/>
        </w:rPr>
        <w:t xml:space="preserve"> обухвата нефинансијску имовину у сталним средствима и залихама, исправку вредности сопствених извора нефинансијске имовине, у сталним средствима за набавке из кредита, финансијску имовину, изворе новчаних средстава, утрошена средства текућих прихода и примања од продаје нефинансијске имовине у току једне године, пренета неутрошена средства из ранијих година и остале сопствене изворе. </w:t>
      </w:r>
    </w:p>
    <w:p w:rsidR="008A0466"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Капитал у нефинансијској имовини (и у сталним средствима и у залихама) књиговодствено се евидентира задужењем одговарајућег субаналитичког конта у оквиру категорија 010000 – Нефинансијска имовина у сталним средствима и 020000 – Нефинансијска имовина у залихама уз одобрење одговарајућих субаналитичких конта у оквиру синтетичких конта 311100 – Нефинансијска имовина у сталним средствима и 311200 – Нефинансијска имовина у залихама. Свако повећање средстава које је настало као последица набавке, инвестирања, градње или поклона (без надокнаде) евидентира се на наведени начин. </w:t>
      </w:r>
    </w:p>
    <w:p w:rsidR="008A0466"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Нефинансијска имовина у сталним средствима, пре стављања у функцију, евидентира се на одговарајућим контима средстава у припреми. </w:t>
      </w:r>
    </w:p>
    <w:p w:rsidR="00493655" w:rsidRPr="00103570" w:rsidRDefault="00493655"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Пројектна документација, стручна оцена и коментари, односно надзор за одређену инвестицију (објекат), до момента стављања објекта у употребу, евидентирају се у оквиру аналитичког конта 016180 – Нематеријална имовина у припреми. Након завршетка објекта и његовог стављања у употребу, врши се искњижење нематеријалне имовине у припреми и увећава се вредност објекта у употреби. Обрачун амортизације се врши по стопи по којој се амортизује објекат.</w:t>
      </w:r>
    </w:p>
    <w:p w:rsidR="008A0466" w:rsidRPr="00103570" w:rsidRDefault="008A0466" w:rsidP="008A0466">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Утврђивање резултата пословања</w:t>
      </w:r>
    </w:p>
    <w:p w:rsidR="008A0466" w:rsidRPr="00103570" w:rsidRDefault="008A0466" w:rsidP="008A0466">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24</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Стављањем у однос укупног износа текућих прихода и примања остварених по основу продаје нефинансијске имовине са укупним износом текућих расхода и издатака за набавку нефинансијске имовине утврђује се вишак прихода и примања – буџетски суфицит односно мањак прихода и примања – буџетски дефицит у текућој години, који се коригује на следећи начин:  </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а) увећава за укључивање </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 дела нераспоређеног вишка прихода и примања из ранијих година који је коришћен за покриће расхода и издатака текуће године;  </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 дела новчаних средстава амортизације који је коришћен за набавку нефинансијске имовине; </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 дела пренетих неутрошених средстава из ранијих година коришћен за покриће расхода и издатака текуће године;  </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lastRenderedPageBreak/>
        <w:t xml:space="preserve">– износа расхода и издатака за нефинансијску имовину финансираних из кредита, и  </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 износа приватизационих примања и примања од отплате датих кредита коришћен за покриће расхода и издатака текуће године </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б) умањује за укључивање издатака:  </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 утрошених средстава текућих прихода и примања од продаје нефинансијске имовине за отплату обавеза по кредитима, и  </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 утрошених средстава текућих прихода и примања од продаје нефинансијске имовине за набавку финансијске имовине.  </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Након кориговања вишка прихода и примања – буџетског суфицита односно мањка прихода и примања – буџетског дефицита у текућој години на наведени начин, утврђује се укупан вишак прихода и примања – буџетски суфицит за пренос у наредну годину. </w:t>
      </w:r>
    </w:p>
    <w:p w:rsidR="008A0466" w:rsidRPr="00103570" w:rsidRDefault="008A0466" w:rsidP="008A0466">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III. ПРЕЛАЗНЕ И ЗАВРШНЕ ОДРЕДБЕ</w:t>
      </w:r>
    </w:p>
    <w:p w:rsidR="008A0466" w:rsidRPr="00103570" w:rsidRDefault="008A0466" w:rsidP="008A0466">
      <w:pPr>
        <w:jc w:val="center"/>
        <w:rPr>
          <w:rFonts w:ascii="Times New Roman" w:hAnsi="Times New Roman" w:cs="Times New Roman"/>
          <w:sz w:val="24"/>
          <w:szCs w:val="24"/>
          <w:lang w:val="sr-Cyrl-RS"/>
        </w:rPr>
      </w:pPr>
      <w:r w:rsidRPr="00103570">
        <w:rPr>
          <w:rFonts w:ascii="Times New Roman" w:hAnsi="Times New Roman" w:cs="Times New Roman"/>
          <w:sz w:val="24"/>
          <w:szCs w:val="24"/>
          <w:lang w:val="sr-Cyrl-RS"/>
        </w:rPr>
        <w:t>Члан 25</w:t>
      </w:r>
    </w:p>
    <w:p w:rsidR="008A0466" w:rsidRPr="00103570" w:rsidRDefault="008A0466" w:rsidP="00666923">
      <w:pPr>
        <w:jc w:val="both"/>
        <w:rPr>
          <w:rFonts w:ascii="Times New Roman" w:hAnsi="Times New Roman" w:cs="Times New Roman"/>
          <w:sz w:val="24"/>
          <w:szCs w:val="24"/>
          <w:lang w:val="sr-Cyrl-RS"/>
        </w:rPr>
      </w:pPr>
      <w:r w:rsidRPr="00103570">
        <w:rPr>
          <w:rFonts w:ascii="Times New Roman" w:hAnsi="Times New Roman" w:cs="Times New Roman"/>
          <w:sz w:val="24"/>
          <w:szCs w:val="24"/>
          <w:lang w:val="sr-Cyrl-RS"/>
        </w:rPr>
        <w:t xml:space="preserve">Ове Рачуноводствене политике ступају на снагу осмог дана од дана објављивања на огласној табли органа </w:t>
      </w:r>
      <w:r w:rsidR="00103570">
        <w:rPr>
          <w:rFonts w:ascii="Times New Roman" w:hAnsi="Times New Roman" w:cs="Times New Roman"/>
          <w:sz w:val="24"/>
          <w:szCs w:val="24"/>
          <w:lang w:val="sr-Cyrl-RS"/>
        </w:rPr>
        <w:t>Школе</w:t>
      </w:r>
      <w:r w:rsidRPr="00103570">
        <w:rPr>
          <w:rFonts w:ascii="Times New Roman" w:hAnsi="Times New Roman" w:cs="Times New Roman"/>
          <w:sz w:val="24"/>
          <w:szCs w:val="24"/>
          <w:lang w:val="sr-Cyrl-RS"/>
        </w:rPr>
        <w:t xml:space="preserve">.  </w:t>
      </w:r>
    </w:p>
    <w:p w:rsidR="00103570" w:rsidRDefault="00103570" w:rsidP="0066692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Председник Школског одбора</w:t>
      </w:r>
    </w:p>
    <w:p w:rsidR="00103570" w:rsidRDefault="00103570" w:rsidP="0066692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_________________________________</w:t>
      </w:r>
    </w:p>
    <w:p w:rsidR="00103570" w:rsidRDefault="00103570" w:rsidP="0066692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Игор Микић</w:t>
      </w:r>
    </w:p>
    <w:p w:rsidR="00103570" w:rsidRDefault="00103570" w:rsidP="0066692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Правилник је објављен на огласној табли школе 13.03.2026. године, ступио је на снагу 21.03.2026. године.                                             </w:t>
      </w:r>
    </w:p>
    <w:p w:rsidR="00103570" w:rsidRDefault="00103570" w:rsidP="0066692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Секретар школе</w:t>
      </w:r>
    </w:p>
    <w:p w:rsidR="00103570" w:rsidRDefault="00103570" w:rsidP="0066692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_______________</w:t>
      </w:r>
    </w:p>
    <w:p w:rsidR="008A0466" w:rsidRPr="00666923" w:rsidRDefault="00103570" w:rsidP="00666923">
      <w:pPr>
        <w:jc w:val="both"/>
        <w:rPr>
          <w:lang w:val="sr-Cyrl-RS"/>
        </w:rPr>
      </w:pPr>
      <w:r>
        <w:rPr>
          <w:rFonts w:ascii="Times New Roman" w:hAnsi="Times New Roman" w:cs="Times New Roman"/>
          <w:sz w:val="24"/>
          <w:szCs w:val="24"/>
          <w:lang w:val="sr-Cyrl-RS"/>
        </w:rPr>
        <w:t xml:space="preserve">                                                                                                           Крстић Јована</w:t>
      </w:r>
      <w:r w:rsidR="008A0466">
        <w:rPr>
          <w:lang w:val="sr-Cyrl-RS"/>
        </w:rPr>
        <w:t xml:space="preserve"> </w:t>
      </w:r>
    </w:p>
    <w:sectPr w:rsidR="008A0466" w:rsidRPr="00666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3673"/>
    <w:multiLevelType w:val="hybridMultilevel"/>
    <w:tmpl w:val="60E0F186"/>
    <w:lvl w:ilvl="0" w:tplc="9ED6EFB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3148421E"/>
    <w:multiLevelType w:val="hybridMultilevel"/>
    <w:tmpl w:val="F3B04392"/>
    <w:lvl w:ilvl="0" w:tplc="B4E43BDC">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33D93A2E"/>
    <w:multiLevelType w:val="hybridMultilevel"/>
    <w:tmpl w:val="3F0886C2"/>
    <w:lvl w:ilvl="0" w:tplc="1C00870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4D"/>
    <w:rsid w:val="00103570"/>
    <w:rsid w:val="0031603A"/>
    <w:rsid w:val="00351B4D"/>
    <w:rsid w:val="00493655"/>
    <w:rsid w:val="00575DED"/>
    <w:rsid w:val="00666923"/>
    <w:rsid w:val="008A0466"/>
    <w:rsid w:val="009E0D5F"/>
    <w:rsid w:val="00B71FAB"/>
    <w:rsid w:val="00C4791F"/>
    <w:rsid w:val="00D5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07CA"/>
  <w15:docId w15:val="{F1EAB673-E5AC-47D6-96FB-CDA97DDE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B4D"/>
    <w:pPr>
      <w:ind w:left="720"/>
      <w:contextualSpacing/>
    </w:pPr>
  </w:style>
  <w:style w:type="paragraph" w:styleId="NoSpacing">
    <w:name w:val="No Spacing"/>
    <w:link w:val="NoSpacingChar"/>
    <w:uiPriority w:val="1"/>
    <w:qFormat/>
    <w:rsid w:val="00103570"/>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10357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4896</Words>
  <Characters>27912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Hp</cp:lastModifiedBy>
  <cp:revision>3</cp:revision>
  <dcterms:created xsi:type="dcterms:W3CDTF">2026-03-12T09:04:00Z</dcterms:created>
  <dcterms:modified xsi:type="dcterms:W3CDTF">2026-03-13T11:37:00Z</dcterms:modified>
</cp:coreProperties>
</file>